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26F93">
      <w:pPr>
        <w:spacing w:before="101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sz w:val="32"/>
          <w:szCs w:val="32"/>
        </w:rPr>
        <w:t>附</w:t>
      </w:r>
      <w:r>
        <w:rPr>
          <w:rFonts w:ascii="黑体" w:hAnsi="黑体" w:eastAsia="黑体" w:cs="黑体"/>
          <w:spacing w:val="-14"/>
          <w:sz w:val="32"/>
          <w:szCs w:val="32"/>
        </w:rPr>
        <w:t>件 1</w:t>
      </w:r>
    </w:p>
    <w:p w14:paraId="1B7D62BA">
      <w:pPr>
        <w:spacing w:before="187" w:line="186" w:lineRule="auto"/>
        <w:ind w:left="3294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国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家奖助学金“具体评审条件”一览表</w:t>
      </w:r>
    </w:p>
    <w:p w14:paraId="10A8BBE7"/>
    <w:p w14:paraId="128E1152">
      <w:pPr>
        <w:spacing w:line="74" w:lineRule="exact"/>
      </w:pPr>
    </w:p>
    <w:tbl>
      <w:tblPr>
        <w:tblStyle w:val="5"/>
        <w:tblW w:w="139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7"/>
        <w:gridCol w:w="4528"/>
        <w:gridCol w:w="2186"/>
        <w:gridCol w:w="2872"/>
        <w:gridCol w:w="3295"/>
      </w:tblGrid>
      <w:tr w14:paraId="41CA65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117" w:type="dxa"/>
            <w:vAlign w:val="top"/>
          </w:tcPr>
          <w:p w14:paraId="0ED59919">
            <w:pPr>
              <w:spacing w:before="180" w:line="230" w:lineRule="auto"/>
              <w:ind w:left="14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项</w:t>
            </w: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目名称</w:t>
            </w:r>
          </w:p>
        </w:tc>
        <w:tc>
          <w:tcPr>
            <w:tcW w:w="4528" w:type="dxa"/>
            <w:vAlign w:val="top"/>
          </w:tcPr>
          <w:p w14:paraId="54550C24">
            <w:pPr>
              <w:spacing w:before="180" w:line="229" w:lineRule="auto"/>
              <w:ind w:left="185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学</w:t>
            </w: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习年限</w:t>
            </w:r>
          </w:p>
        </w:tc>
        <w:tc>
          <w:tcPr>
            <w:tcW w:w="2186" w:type="dxa"/>
            <w:vAlign w:val="top"/>
          </w:tcPr>
          <w:p w14:paraId="42B1969F">
            <w:pPr>
              <w:spacing w:before="180" w:line="229" w:lineRule="auto"/>
              <w:ind w:left="68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学</w:t>
            </w: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习成绩</w:t>
            </w:r>
          </w:p>
        </w:tc>
        <w:tc>
          <w:tcPr>
            <w:tcW w:w="2872" w:type="dxa"/>
            <w:vAlign w:val="top"/>
          </w:tcPr>
          <w:p w14:paraId="2E2D4692">
            <w:pPr>
              <w:spacing w:before="180" w:line="230" w:lineRule="auto"/>
              <w:ind w:left="102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0"/>
                <w:sz w:val="20"/>
                <w:szCs w:val="20"/>
              </w:rPr>
              <w:t>破</w:t>
            </w: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格条件</w:t>
            </w:r>
          </w:p>
        </w:tc>
        <w:tc>
          <w:tcPr>
            <w:tcW w:w="3295" w:type="dxa"/>
            <w:vAlign w:val="top"/>
          </w:tcPr>
          <w:p w14:paraId="739A0B55">
            <w:pPr>
              <w:spacing w:before="180" w:line="230" w:lineRule="auto"/>
              <w:ind w:left="14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备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注</w:t>
            </w:r>
          </w:p>
        </w:tc>
      </w:tr>
      <w:tr w14:paraId="46699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1117" w:type="dxa"/>
            <w:vAlign w:val="top"/>
          </w:tcPr>
          <w:p w14:paraId="536777DA">
            <w:pPr>
              <w:spacing w:line="321" w:lineRule="auto"/>
              <w:rPr>
                <w:rFonts w:ascii="Arial"/>
                <w:sz w:val="21"/>
              </w:rPr>
            </w:pPr>
          </w:p>
          <w:p w14:paraId="2ED4AE82">
            <w:pPr>
              <w:spacing w:line="321" w:lineRule="auto"/>
              <w:rPr>
                <w:rFonts w:ascii="Arial"/>
                <w:sz w:val="21"/>
              </w:rPr>
            </w:pPr>
          </w:p>
          <w:p w14:paraId="731CD269">
            <w:pPr>
              <w:spacing w:before="65" w:line="225" w:lineRule="auto"/>
              <w:ind w:left="14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本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专科生</w:t>
            </w:r>
          </w:p>
          <w:p w14:paraId="60BDC3AD">
            <w:pPr>
              <w:spacing w:before="27" w:line="225" w:lineRule="auto"/>
              <w:ind w:left="1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国家奖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学</w:t>
            </w:r>
          </w:p>
          <w:p w14:paraId="40038A1B">
            <w:pPr>
              <w:spacing w:before="29" w:line="231" w:lineRule="auto"/>
              <w:ind w:left="46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4528" w:type="dxa"/>
            <w:vAlign w:val="top"/>
          </w:tcPr>
          <w:p w14:paraId="55931B0B">
            <w:pPr>
              <w:spacing w:before="166" w:line="255" w:lineRule="auto"/>
              <w:ind w:left="108" w:right="103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本专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科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二年级 (含二年级) 以上；专升本学生进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 xml:space="preserve">入本科阶段第 </w:t>
            </w: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 xml:space="preserve">2 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(含第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 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年) 以上；五年一贯 </w:t>
            </w: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制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高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 xml:space="preserve">职 ( 中职高职连读 ) 学生入学第 </w:t>
            </w: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 xml:space="preserve">5 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年；本硕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连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读或本硕博连读的特殊学制学生，根据当年所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5"/>
                <w:sz w:val="20"/>
                <w:szCs w:val="20"/>
              </w:rPr>
              <w:t>修</w:t>
            </w:r>
            <w:r>
              <w:rPr>
                <w:rFonts w:ascii="仿宋" w:hAnsi="仿宋" w:eastAsia="仿宋" w:cs="仿宋"/>
                <w:spacing w:val="15"/>
                <w:sz w:val="20"/>
                <w:szCs w:val="20"/>
              </w:rPr>
              <w:t>课程层次确定参与相应学段的国家奖学金评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定，原则上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从入学第 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 xml:space="preserve">6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年开始( 即不在本科学习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阶段) 不再具备申请资格。</w:t>
            </w:r>
          </w:p>
        </w:tc>
        <w:tc>
          <w:tcPr>
            <w:tcW w:w="2186" w:type="dxa"/>
            <w:vAlign w:val="top"/>
          </w:tcPr>
          <w:p w14:paraId="643F9672">
            <w:pPr>
              <w:spacing w:line="371" w:lineRule="auto"/>
              <w:rPr>
                <w:rFonts w:ascii="Arial"/>
                <w:sz w:val="21"/>
              </w:rPr>
            </w:pPr>
          </w:p>
          <w:p w14:paraId="7D5400A0">
            <w:pPr>
              <w:spacing w:before="65" w:line="254" w:lineRule="auto"/>
              <w:ind w:left="109" w:right="105" w:firstLine="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1"/>
                <w:sz w:val="20"/>
                <w:szCs w:val="20"/>
              </w:rPr>
              <w:t>学</w:t>
            </w:r>
            <w:r>
              <w:rPr>
                <w:rFonts w:ascii="仿宋" w:hAnsi="仿宋" w:eastAsia="仿宋" w:cs="仿宋"/>
                <w:spacing w:val="16"/>
                <w:sz w:val="20"/>
                <w:szCs w:val="20"/>
              </w:rPr>
              <w:t>习成绩排名与综合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1"/>
                <w:sz w:val="20"/>
                <w:szCs w:val="20"/>
              </w:rPr>
              <w:t>考</w:t>
            </w:r>
            <w:r>
              <w:rPr>
                <w:rFonts w:ascii="仿宋" w:hAnsi="仿宋" w:eastAsia="仿宋" w:cs="仿宋"/>
                <w:spacing w:val="18"/>
                <w:sz w:val="20"/>
                <w:szCs w:val="20"/>
              </w:rPr>
              <w:t>评成绩排名在评选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 xml:space="preserve">范围内均位于前 </w:t>
            </w:r>
            <w:r>
              <w:rPr>
                <w:rFonts w:ascii="Times New Roman" w:hAnsi="Times New Roman" w:eastAsia="Times New Roman" w:cs="Times New Roman"/>
                <w:spacing w:val="9"/>
                <w:sz w:val="20"/>
                <w:szCs w:val="2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8"/>
                <w:sz w:val="20"/>
                <w:szCs w:val="20"/>
              </w:rPr>
              <w:t>%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31"/>
                <w:sz w:val="20"/>
                <w:szCs w:val="20"/>
              </w:rPr>
              <w:t>(</w:t>
            </w:r>
            <w:r>
              <w:rPr>
                <w:rFonts w:ascii="仿宋" w:hAnsi="仿宋" w:eastAsia="仿宋" w:cs="仿宋"/>
                <w:spacing w:val="26"/>
                <w:sz w:val="20"/>
                <w:szCs w:val="20"/>
              </w:rPr>
              <w:t>含) ，且没有不及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格科目。</w:t>
            </w:r>
          </w:p>
        </w:tc>
        <w:tc>
          <w:tcPr>
            <w:tcW w:w="2872" w:type="dxa"/>
            <w:vAlign w:val="top"/>
          </w:tcPr>
          <w:p w14:paraId="0177F6FD">
            <w:pPr>
              <w:spacing w:before="32" w:line="248" w:lineRule="auto"/>
              <w:ind w:left="108" w:right="75" w:firstLine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7"/>
                <w:sz w:val="20"/>
                <w:szCs w:val="20"/>
              </w:rPr>
              <w:t>学</w:t>
            </w:r>
            <w:r>
              <w:rPr>
                <w:rFonts w:ascii="仿宋" w:hAnsi="仿宋" w:eastAsia="仿宋" w:cs="仿宋"/>
                <w:spacing w:val="19"/>
                <w:sz w:val="20"/>
                <w:szCs w:val="20"/>
              </w:rPr>
              <w:t>习成绩排名或综合考评成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 xml:space="preserve">绩排名没有进入前 </w:t>
            </w: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0%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，但均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位于前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 xml:space="preserve">30%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(含) 的学生，参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评学年必须在道德风尚、学术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>研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究、学科竞赛、创新发明、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社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会实践、社会工作、体育竞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赛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、艺术展演等某一方面表现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非常突出。</w:t>
            </w:r>
          </w:p>
        </w:tc>
        <w:tc>
          <w:tcPr>
            <w:tcW w:w="3295" w:type="dxa"/>
            <w:vAlign w:val="top"/>
          </w:tcPr>
          <w:p w14:paraId="5BA742A5">
            <w:pPr>
              <w:rPr>
                <w:rFonts w:ascii="Arial"/>
                <w:sz w:val="21"/>
              </w:rPr>
            </w:pPr>
          </w:p>
        </w:tc>
      </w:tr>
      <w:tr w14:paraId="3A4C7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0" w:hRule="atLeast"/>
        </w:trPr>
        <w:tc>
          <w:tcPr>
            <w:tcW w:w="1117" w:type="dxa"/>
            <w:vAlign w:val="top"/>
          </w:tcPr>
          <w:p w14:paraId="7BE7FFAF">
            <w:pPr>
              <w:spacing w:line="282" w:lineRule="auto"/>
              <w:rPr>
                <w:rFonts w:ascii="Arial"/>
                <w:sz w:val="21"/>
              </w:rPr>
            </w:pPr>
          </w:p>
          <w:p w14:paraId="6A015F44">
            <w:pPr>
              <w:spacing w:line="282" w:lineRule="auto"/>
              <w:rPr>
                <w:rFonts w:ascii="Arial"/>
                <w:sz w:val="21"/>
              </w:rPr>
            </w:pPr>
          </w:p>
          <w:p w14:paraId="00F26B11">
            <w:pPr>
              <w:spacing w:line="283" w:lineRule="auto"/>
              <w:rPr>
                <w:rFonts w:ascii="Arial"/>
                <w:sz w:val="21"/>
              </w:rPr>
            </w:pPr>
          </w:p>
          <w:p w14:paraId="3228F07D">
            <w:pPr>
              <w:spacing w:before="65" w:line="225" w:lineRule="auto"/>
              <w:ind w:left="14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本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专科生</w:t>
            </w:r>
          </w:p>
          <w:p w14:paraId="44DAF537">
            <w:pPr>
              <w:spacing w:before="27" w:line="226" w:lineRule="auto"/>
              <w:ind w:left="1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国家励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志</w:t>
            </w:r>
          </w:p>
          <w:p w14:paraId="31F47AEF">
            <w:pPr>
              <w:spacing w:before="29" w:line="225" w:lineRule="auto"/>
              <w:ind w:left="26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奖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学金</w:t>
            </w:r>
          </w:p>
        </w:tc>
        <w:tc>
          <w:tcPr>
            <w:tcW w:w="4528" w:type="dxa"/>
            <w:vAlign w:val="top"/>
          </w:tcPr>
          <w:p w14:paraId="56DC4DB4">
            <w:pPr>
              <w:spacing w:line="279" w:lineRule="auto"/>
              <w:rPr>
                <w:rFonts w:ascii="Arial"/>
                <w:sz w:val="21"/>
              </w:rPr>
            </w:pPr>
          </w:p>
          <w:p w14:paraId="67F572E0">
            <w:pPr>
              <w:spacing w:line="280" w:lineRule="auto"/>
              <w:rPr>
                <w:rFonts w:ascii="Arial"/>
                <w:sz w:val="21"/>
              </w:rPr>
            </w:pPr>
          </w:p>
          <w:p w14:paraId="662BFA76">
            <w:pPr>
              <w:spacing w:line="280" w:lineRule="auto"/>
              <w:rPr>
                <w:rFonts w:ascii="Arial"/>
                <w:sz w:val="21"/>
              </w:rPr>
            </w:pPr>
          </w:p>
          <w:p w14:paraId="3F7D962A">
            <w:pPr>
              <w:spacing w:line="280" w:lineRule="auto"/>
              <w:rPr>
                <w:rFonts w:ascii="Arial"/>
                <w:sz w:val="21"/>
              </w:rPr>
            </w:pPr>
          </w:p>
          <w:p w14:paraId="46AC9D09">
            <w:pPr>
              <w:spacing w:before="65" w:line="225" w:lineRule="auto"/>
              <w:ind w:left="1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与本专科国家学金 “学习年限”要求一致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。</w:t>
            </w:r>
          </w:p>
        </w:tc>
        <w:tc>
          <w:tcPr>
            <w:tcW w:w="2186" w:type="dxa"/>
            <w:vAlign w:val="top"/>
          </w:tcPr>
          <w:p w14:paraId="25F5970F">
            <w:pPr>
              <w:spacing w:line="356" w:lineRule="auto"/>
              <w:rPr>
                <w:rFonts w:ascii="Arial"/>
                <w:sz w:val="21"/>
              </w:rPr>
            </w:pPr>
          </w:p>
          <w:p w14:paraId="26CD4A5C">
            <w:pPr>
              <w:spacing w:line="356" w:lineRule="auto"/>
              <w:rPr>
                <w:rFonts w:ascii="Arial"/>
                <w:sz w:val="21"/>
              </w:rPr>
            </w:pPr>
          </w:p>
          <w:p w14:paraId="6B0E205D">
            <w:pPr>
              <w:spacing w:before="65" w:line="264" w:lineRule="auto"/>
              <w:ind w:left="111" w:right="105" w:firstLine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1"/>
                <w:sz w:val="20"/>
                <w:szCs w:val="20"/>
              </w:rPr>
              <w:t>学</w:t>
            </w:r>
            <w:r>
              <w:rPr>
                <w:rFonts w:ascii="仿宋" w:hAnsi="仿宋" w:eastAsia="仿宋" w:cs="仿宋"/>
                <w:spacing w:val="16"/>
                <w:sz w:val="20"/>
                <w:szCs w:val="20"/>
              </w:rPr>
              <w:t>习成绩排名与综合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0"/>
                <w:szCs w:val="20"/>
              </w:rPr>
              <w:t>考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评成绩排名， 原则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0"/>
                <w:sz w:val="20"/>
                <w:szCs w:val="20"/>
              </w:rPr>
              <w:t>上</w:t>
            </w:r>
            <w:r>
              <w:rPr>
                <w:rFonts w:ascii="仿宋" w:hAnsi="仿宋" w:eastAsia="仿宋" w:cs="仿宋"/>
                <w:spacing w:val="18"/>
                <w:sz w:val="20"/>
                <w:szCs w:val="20"/>
              </w:rPr>
              <w:t>应在评选范围内位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 xml:space="preserve">于前 </w:t>
            </w:r>
            <w:r>
              <w:rPr>
                <w:rFonts w:ascii="Times New Roman" w:hAnsi="Times New Roman" w:eastAsia="Times New Roman" w:cs="Times New Roman"/>
                <w:spacing w:val="1"/>
                <w:sz w:val="20"/>
                <w:szCs w:val="20"/>
              </w:rPr>
              <w:t xml:space="preserve">10%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z w:val="20"/>
                <w:szCs w:val="20"/>
              </w:rPr>
              <w:t>(含) 。</w:t>
            </w:r>
          </w:p>
        </w:tc>
        <w:tc>
          <w:tcPr>
            <w:tcW w:w="2872" w:type="dxa"/>
            <w:vAlign w:val="top"/>
          </w:tcPr>
          <w:p w14:paraId="75FE6611">
            <w:pPr>
              <w:spacing w:before="234" w:line="253" w:lineRule="auto"/>
              <w:ind w:left="117" w:right="36" w:firstLine="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7"/>
                <w:sz w:val="20"/>
                <w:szCs w:val="20"/>
              </w:rPr>
              <w:t>学</w:t>
            </w:r>
            <w:r>
              <w:rPr>
                <w:rFonts w:ascii="仿宋" w:hAnsi="仿宋" w:eastAsia="仿宋" w:cs="仿宋"/>
                <w:spacing w:val="19"/>
                <w:sz w:val="20"/>
                <w:szCs w:val="20"/>
              </w:rPr>
              <w:t>习成绩排名或综合考评成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绩排名超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 xml:space="preserve">出前 </w:t>
            </w: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10%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，但均位于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前 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 xml:space="preserve">30%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(含) 的，必须在参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评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学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 xml:space="preserve"> ( 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 xml:space="preserve">2024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 xml:space="preserve">2025 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学年) 获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 xml:space="preserve">得 </w:t>
            </w:r>
            <w:r>
              <w:rPr>
                <w:rFonts w:ascii="Times New Roman" w:hAnsi="Times New Roman" w:eastAsia="Times New Roman" w:cs="Times New Roman"/>
                <w:spacing w:val="11"/>
                <w:sz w:val="20"/>
                <w:szCs w:val="20"/>
              </w:rPr>
              <w:t xml:space="preserve">1 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>次及以上校级(含校级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)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以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上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表彰奖励。“校级 (含校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级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) 以上表彰奖励”的认定，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0"/>
                <w:szCs w:val="20"/>
              </w:rPr>
              <w:t>由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各高校自行确定。</w:t>
            </w:r>
          </w:p>
        </w:tc>
        <w:tc>
          <w:tcPr>
            <w:tcW w:w="3295" w:type="dxa"/>
            <w:vAlign w:val="top"/>
          </w:tcPr>
          <w:p w14:paraId="5B7F2560">
            <w:pPr>
              <w:rPr>
                <w:rFonts w:ascii="Arial"/>
                <w:sz w:val="21"/>
              </w:rPr>
            </w:pPr>
          </w:p>
        </w:tc>
      </w:tr>
      <w:tr w14:paraId="7F357E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</w:trPr>
        <w:tc>
          <w:tcPr>
            <w:tcW w:w="1117" w:type="dxa"/>
            <w:vAlign w:val="top"/>
          </w:tcPr>
          <w:p w14:paraId="4659DCD0">
            <w:pPr>
              <w:spacing w:line="323" w:lineRule="auto"/>
              <w:rPr>
                <w:rFonts w:ascii="Arial"/>
                <w:sz w:val="21"/>
              </w:rPr>
            </w:pPr>
          </w:p>
          <w:p w14:paraId="34588B26">
            <w:pPr>
              <w:spacing w:before="65" w:line="265" w:lineRule="auto"/>
              <w:ind w:left="149" w:right="137" w:hanging="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本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专科国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家助学金</w:t>
            </w:r>
          </w:p>
        </w:tc>
        <w:tc>
          <w:tcPr>
            <w:tcW w:w="4528" w:type="dxa"/>
            <w:vAlign w:val="top"/>
          </w:tcPr>
          <w:p w14:paraId="74D78791">
            <w:pPr>
              <w:spacing w:line="323" w:lineRule="auto"/>
              <w:rPr>
                <w:rFonts w:ascii="Arial"/>
                <w:sz w:val="21"/>
              </w:rPr>
            </w:pPr>
          </w:p>
          <w:p w14:paraId="677198A8">
            <w:pPr>
              <w:spacing w:before="65" w:line="263" w:lineRule="auto"/>
              <w:ind w:left="129" w:right="108" w:hanging="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大一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新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生、在校生和预科生。超过基本修业年限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的在校生不再具备申请条件。</w:t>
            </w:r>
          </w:p>
        </w:tc>
        <w:tc>
          <w:tcPr>
            <w:tcW w:w="2186" w:type="dxa"/>
            <w:vAlign w:val="top"/>
          </w:tcPr>
          <w:p w14:paraId="0E6A2EFB">
            <w:pPr>
              <w:spacing w:line="295" w:lineRule="auto"/>
              <w:rPr>
                <w:rFonts w:ascii="Arial"/>
                <w:sz w:val="21"/>
              </w:rPr>
            </w:pPr>
          </w:p>
          <w:p w14:paraId="5CF45172">
            <w:pPr>
              <w:spacing w:line="295" w:lineRule="auto"/>
              <w:rPr>
                <w:rFonts w:ascii="Arial"/>
                <w:sz w:val="21"/>
              </w:rPr>
            </w:pPr>
          </w:p>
          <w:p w14:paraId="396F57AB">
            <w:pPr>
              <w:spacing w:before="58" w:line="142" w:lineRule="exact"/>
              <w:ind w:left="8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1"/>
                <w:position w:val="-1"/>
                <w:sz w:val="20"/>
                <w:szCs w:val="20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10"/>
                <w:position w:val="-1"/>
                <w:sz w:val="20"/>
                <w:szCs w:val="20"/>
              </w:rPr>
              <w:t>—</w:t>
            </w:r>
          </w:p>
        </w:tc>
        <w:tc>
          <w:tcPr>
            <w:tcW w:w="2872" w:type="dxa"/>
            <w:vAlign w:val="top"/>
          </w:tcPr>
          <w:p w14:paraId="6EA2FA3E">
            <w:pPr>
              <w:spacing w:line="295" w:lineRule="auto"/>
              <w:rPr>
                <w:rFonts w:ascii="Arial"/>
                <w:sz w:val="21"/>
              </w:rPr>
            </w:pPr>
          </w:p>
          <w:p w14:paraId="113EFF63">
            <w:pPr>
              <w:spacing w:line="295" w:lineRule="auto"/>
              <w:rPr>
                <w:rFonts w:ascii="Arial"/>
                <w:sz w:val="21"/>
              </w:rPr>
            </w:pPr>
          </w:p>
          <w:p w14:paraId="63A7B043">
            <w:pPr>
              <w:spacing w:before="58" w:line="142" w:lineRule="exact"/>
              <w:ind w:left="122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1"/>
                <w:position w:val="-1"/>
                <w:sz w:val="20"/>
                <w:szCs w:val="20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10"/>
                <w:position w:val="-1"/>
                <w:sz w:val="20"/>
                <w:szCs w:val="20"/>
              </w:rPr>
              <w:t>—</w:t>
            </w:r>
          </w:p>
        </w:tc>
        <w:tc>
          <w:tcPr>
            <w:tcW w:w="3295" w:type="dxa"/>
            <w:vAlign w:val="top"/>
          </w:tcPr>
          <w:p w14:paraId="43B04BD4">
            <w:pPr>
              <w:rPr>
                <w:rFonts w:ascii="Arial"/>
                <w:sz w:val="21"/>
              </w:rPr>
            </w:pPr>
          </w:p>
        </w:tc>
      </w:tr>
    </w:tbl>
    <w:p w14:paraId="563C3A49">
      <w:pPr>
        <w:rPr>
          <w:rFonts w:ascii="Arial"/>
          <w:sz w:val="21"/>
        </w:rPr>
      </w:pPr>
    </w:p>
    <w:p w14:paraId="2B762578">
      <w:pPr>
        <w:sectPr>
          <w:footerReference r:id="rId5" w:type="default"/>
          <w:pgSz w:w="16838" w:h="11906"/>
          <w:pgMar w:top="1011" w:right="1415" w:bottom="1370" w:left="1418" w:header="0" w:footer="1086" w:gutter="0"/>
          <w:cols w:space="720" w:num="1"/>
        </w:sectPr>
      </w:pPr>
    </w:p>
    <w:p w14:paraId="17A55A68"/>
    <w:p w14:paraId="363E7F85"/>
    <w:p w14:paraId="42EE310E">
      <w:pPr>
        <w:spacing w:line="36" w:lineRule="exact"/>
      </w:pPr>
    </w:p>
    <w:tbl>
      <w:tblPr>
        <w:tblStyle w:val="5"/>
        <w:tblW w:w="139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7"/>
        <w:gridCol w:w="4528"/>
        <w:gridCol w:w="2186"/>
        <w:gridCol w:w="2872"/>
        <w:gridCol w:w="3295"/>
      </w:tblGrid>
      <w:tr w14:paraId="6AEFC8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117" w:type="dxa"/>
            <w:vAlign w:val="top"/>
          </w:tcPr>
          <w:p w14:paraId="6437EC36">
            <w:pPr>
              <w:spacing w:before="182" w:line="230" w:lineRule="auto"/>
              <w:ind w:left="14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项</w:t>
            </w: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目名称</w:t>
            </w:r>
          </w:p>
        </w:tc>
        <w:tc>
          <w:tcPr>
            <w:tcW w:w="4528" w:type="dxa"/>
            <w:vAlign w:val="top"/>
          </w:tcPr>
          <w:p w14:paraId="66D67E50">
            <w:pPr>
              <w:spacing w:before="183" w:line="229" w:lineRule="auto"/>
              <w:ind w:left="185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学</w:t>
            </w: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习年限</w:t>
            </w:r>
          </w:p>
        </w:tc>
        <w:tc>
          <w:tcPr>
            <w:tcW w:w="2186" w:type="dxa"/>
            <w:vAlign w:val="top"/>
          </w:tcPr>
          <w:p w14:paraId="39DABD4E">
            <w:pPr>
              <w:spacing w:before="183" w:line="229" w:lineRule="auto"/>
              <w:ind w:left="68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学</w:t>
            </w: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习成绩</w:t>
            </w:r>
          </w:p>
        </w:tc>
        <w:tc>
          <w:tcPr>
            <w:tcW w:w="2872" w:type="dxa"/>
            <w:vAlign w:val="top"/>
          </w:tcPr>
          <w:p w14:paraId="6D3B21CA">
            <w:pPr>
              <w:spacing w:before="182" w:line="230" w:lineRule="auto"/>
              <w:ind w:left="102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10"/>
                <w:sz w:val="20"/>
                <w:szCs w:val="20"/>
              </w:rPr>
              <w:t>破</w:t>
            </w: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格条件</w:t>
            </w:r>
          </w:p>
        </w:tc>
        <w:tc>
          <w:tcPr>
            <w:tcW w:w="3295" w:type="dxa"/>
            <w:vAlign w:val="top"/>
          </w:tcPr>
          <w:p w14:paraId="6F042DD0">
            <w:pPr>
              <w:spacing w:before="182" w:line="230" w:lineRule="auto"/>
              <w:ind w:left="144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备</w:t>
            </w: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注</w:t>
            </w:r>
          </w:p>
        </w:tc>
      </w:tr>
      <w:tr w14:paraId="4BBF3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117" w:type="dxa"/>
            <w:vAlign w:val="top"/>
          </w:tcPr>
          <w:p w14:paraId="1AC5AE61">
            <w:pPr>
              <w:spacing w:line="373" w:lineRule="auto"/>
              <w:rPr>
                <w:rFonts w:ascii="Arial"/>
                <w:sz w:val="21"/>
              </w:rPr>
            </w:pPr>
          </w:p>
          <w:p w14:paraId="553B71F5">
            <w:pPr>
              <w:spacing w:before="65" w:line="264" w:lineRule="auto"/>
              <w:ind w:left="149" w:right="137" w:hanging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>研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究生国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家奖学金</w:t>
            </w:r>
          </w:p>
        </w:tc>
        <w:tc>
          <w:tcPr>
            <w:tcW w:w="4528" w:type="dxa"/>
            <w:vAlign w:val="top"/>
          </w:tcPr>
          <w:p w14:paraId="18A37781">
            <w:pPr>
              <w:spacing w:before="33" w:line="246" w:lineRule="auto"/>
              <w:ind w:left="112" w:right="103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新生和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在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校生均可参评，当年毕业的学生不再具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备申请资格。直博生和招生简章中注明不授予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中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间学位的本硕博、硕博连读学生，根据当年所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修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1"/>
                <w:sz w:val="20"/>
                <w:szCs w:val="20"/>
              </w:rPr>
              <w:t>课</w:t>
            </w:r>
            <w:r>
              <w:rPr>
                <w:rFonts w:ascii="仿宋" w:hAnsi="仿宋" w:eastAsia="仿宋" w:cs="仿宋"/>
                <w:spacing w:val="15"/>
                <w:sz w:val="20"/>
                <w:szCs w:val="20"/>
              </w:rPr>
              <w:t>程的层次阶段确定身份参与研究生国家奖学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金的评定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。</w:t>
            </w:r>
          </w:p>
        </w:tc>
        <w:tc>
          <w:tcPr>
            <w:tcW w:w="2186" w:type="dxa"/>
            <w:vAlign w:val="top"/>
          </w:tcPr>
          <w:p w14:paraId="49906593">
            <w:pPr>
              <w:spacing w:line="254" w:lineRule="auto"/>
              <w:rPr>
                <w:rFonts w:ascii="Arial"/>
                <w:sz w:val="21"/>
              </w:rPr>
            </w:pPr>
          </w:p>
          <w:p w14:paraId="3EF929E7">
            <w:pPr>
              <w:spacing w:line="254" w:lineRule="auto"/>
              <w:rPr>
                <w:rFonts w:ascii="Arial"/>
                <w:sz w:val="21"/>
              </w:rPr>
            </w:pPr>
          </w:p>
          <w:p w14:paraId="1B01EB6D">
            <w:pPr>
              <w:spacing w:before="65" w:line="224" w:lineRule="auto"/>
              <w:ind w:left="14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由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各高校自行确定。</w:t>
            </w:r>
          </w:p>
        </w:tc>
        <w:tc>
          <w:tcPr>
            <w:tcW w:w="2872" w:type="dxa"/>
            <w:vAlign w:val="top"/>
          </w:tcPr>
          <w:p w14:paraId="66BDD530">
            <w:pPr>
              <w:spacing w:line="254" w:lineRule="auto"/>
              <w:rPr>
                <w:rFonts w:ascii="Arial"/>
                <w:sz w:val="21"/>
              </w:rPr>
            </w:pPr>
          </w:p>
          <w:p w14:paraId="2F25408C">
            <w:pPr>
              <w:spacing w:line="254" w:lineRule="auto"/>
              <w:rPr>
                <w:rFonts w:ascii="Arial"/>
                <w:sz w:val="21"/>
              </w:rPr>
            </w:pPr>
          </w:p>
          <w:p w14:paraId="2B91EB37">
            <w:pPr>
              <w:spacing w:before="65" w:line="224" w:lineRule="auto"/>
              <w:ind w:left="14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由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各高校自行确定。</w:t>
            </w:r>
          </w:p>
        </w:tc>
        <w:tc>
          <w:tcPr>
            <w:tcW w:w="3295" w:type="dxa"/>
            <w:vMerge w:val="restart"/>
            <w:tcBorders>
              <w:bottom w:val="nil"/>
            </w:tcBorders>
            <w:vAlign w:val="top"/>
          </w:tcPr>
          <w:p w14:paraId="24F38282">
            <w:pPr>
              <w:spacing w:before="35" w:line="249" w:lineRule="auto"/>
              <w:ind w:left="111" w:righ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8"/>
                <w:sz w:val="20"/>
                <w:szCs w:val="20"/>
              </w:rPr>
              <w:t>(一)参评学年具有以下情形之</w:t>
            </w:r>
            <w:r>
              <w:rPr>
                <w:rFonts w:ascii="仿宋" w:hAnsi="仿宋" w:eastAsia="仿宋" w:cs="仿宋"/>
                <w:spacing w:val="17"/>
                <w:sz w:val="20"/>
                <w:szCs w:val="20"/>
              </w:rPr>
              <w:t>一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的</w:t>
            </w:r>
            <w:r>
              <w:rPr>
                <w:rFonts w:ascii="仿宋" w:hAnsi="仿宋" w:eastAsia="仿宋" w:cs="仿宋"/>
                <w:spacing w:val="10"/>
                <w:sz w:val="20"/>
                <w:szCs w:val="20"/>
              </w:rPr>
              <w:t>研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究生不具备申请资格：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1.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违反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国家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法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律法规、校纪校规受到处理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者</w:t>
            </w:r>
            <w:r>
              <w:rPr>
                <w:rFonts w:ascii="仿宋" w:hAnsi="仿宋" w:eastAsia="仿宋" w:cs="仿宋"/>
                <w:spacing w:val="10"/>
                <w:sz w:val="20"/>
                <w:szCs w:val="20"/>
              </w:rPr>
              <w:t>；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2.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有抄袭剽窃、弄虚作假等学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术</w:t>
            </w:r>
            <w:r>
              <w:rPr>
                <w:rFonts w:ascii="仿宋" w:hAnsi="仿宋" w:eastAsia="仿宋" w:cs="仿宋"/>
                <w:spacing w:val="10"/>
                <w:sz w:val="20"/>
                <w:szCs w:val="20"/>
              </w:rPr>
              <w:t>不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端行为经查证属实者；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3.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学籍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6"/>
                <w:sz w:val="20"/>
                <w:szCs w:val="20"/>
              </w:rPr>
              <w:t>状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态处于休学、保留学籍者。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19"/>
                <w:sz w:val="20"/>
                <w:szCs w:val="20"/>
              </w:rPr>
              <w:t>(</w:t>
            </w:r>
            <w:r>
              <w:rPr>
                <w:rFonts w:ascii="仿宋" w:hAnsi="仿宋" w:eastAsia="仿宋" w:cs="仿宋"/>
                <w:spacing w:val="10"/>
                <w:sz w:val="20"/>
                <w:szCs w:val="20"/>
              </w:rPr>
              <w:t>二 )具有以下情形之一的研究生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原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则上不具备申请资格：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1.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超出基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本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修业年限者；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2.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基本修业年限内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因私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出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国留学、疾病、创业等原因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未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在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校学习者( 因国家和单位公派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22"/>
                <w:sz w:val="20"/>
                <w:szCs w:val="20"/>
              </w:rPr>
              <w:t>出</w:t>
            </w:r>
            <w:r>
              <w:rPr>
                <w:rFonts w:ascii="仿宋" w:hAnsi="仿宋" w:eastAsia="仿宋" w:cs="仿宋"/>
                <w:spacing w:val="19"/>
                <w:sz w:val="20"/>
                <w:szCs w:val="20"/>
              </w:rPr>
              <w:t>国留学或校际交流在境外学习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0"/>
                <w:szCs w:val="20"/>
              </w:rPr>
              <w:t>的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研究生除外) 。</w:t>
            </w:r>
          </w:p>
        </w:tc>
      </w:tr>
      <w:tr w14:paraId="2D1540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1" w:hRule="atLeast"/>
        </w:trPr>
        <w:tc>
          <w:tcPr>
            <w:tcW w:w="1117" w:type="dxa"/>
            <w:vAlign w:val="top"/>
          </w:tcPr>
          <w:p w14:paraId="152366C7">
            <w:pPr>
              <w:spacing w:line="257" w:lineRule="auto"/>
              <w:rPr>
                <w:rFonts w:ascii="Arial"/>
                <w:sz w:val="21"/>
              </w:rPr>
            </w:pPr>
          </w:p>
          <w:p w14:paraId="316A13AE">
            <w:pPr>
              <w:spacing w:line="258" w:lineRule="auto"/>
              <w:rPr>
                <w:rFonts w:ascii="Arial"/>
                <w:sz w:val="21"/>
              </w:rPr>
            </w:pPr>
          </w:p>
          <w:p w14:paraId="43DADD58">
            <w:pPr>
              <w:spacing w:line="258" w:lineRule="auto"/>
              <w:rPr>
                <w:rFonts w:ascii="Arial"/>
                <w:sz w:val="21"/>
              </w:rPr>
            </w:pPr>
          </w:p>
          <w:p w14:paraId="53A70C9E">
            <w:pPr>
              <w:spacing w:before="65" w:line="264" w:lineRule="auto"/>
              <w:ind w:left="153" w:right="13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>研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究生学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业奖学金</w:t>
            </w:r>
          </w:p>
        </w:tc>
        <w:tc>
          <w:tcPr>
            <w:tcW w:w="4528" w:type="dxa"/>
            <w:vAlign w:val="top"/>
          </w:tcPr>
          <w:p w14:paraId="1EF1CD02">
            <w:pPr>
              <w:spacing w:line="303" w:lineRule="auto"/>
              <w:rPr>
                <w:rFonts w:ascii="Arial"/>
                <w:sz w:val="21"/>
              </w:rPr>
            </w:pPr>
          </w:p>
          <w:p w14:paraId="2E8326CC">
            <w:pPr>
              <w:spacing w:line="303" w:lineRule="auto"/>
              <w:rPr>
                <w:rFonts w:ascii="Arial"/>
                <w:sz w:val="21"/>
              </w:rPr>
            </w:pPr>
          </w:p>
          <w:p w14:paraId="2794C418">
            <w:pPr>
              <w:spacing w:line="303" w:lineRule="auto"/>
              <w:rPr>
                <w:rFonts w:ascii="Arial"/>
                <w:sz w:val="21"/>
              </w:rPr>
            </w:pPr>
          </w:p>
          <w:p w14:paraId="46DD9CC0">
            <w:pPr>
              <w:spacing w:before="65" w:line="225" w:lineRule="auto"/>
              <w:ind w:left="1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与</w:t>
            </w:r>
            <w:r>
              <w:rPr>
                <w:rFonts w:ascii="仿宋" w:hAnsi="仿宋" w:eastAsia="仿宋" w:cs="仿宋"/>
                <w:spacing w:val="3"/>
                <w:sz w:val="20"/>
                <w:szCs w:val="20"/>
              </w:rPr>
              <w:t>研究生国家奖学金 “学习年限”要求一致。</w:t>
            </w:r>
          </w:p>
        </w:tc>
        <w:tc>
          <w:tcPr>
            <w:tcW w:w="2186" w:type="dxa"/>
            <w:vAlign w:val="top"/>
          </w:tcPr>
          <w:p w14:paraId="24DFDB35">
            <w:pPr>
              <w:spacing w:line="303" w:lineRule="auto"/>
              <w:rPr>
                <w:rFonts w:ascii="Arial"/>
                <w:sz w:val="21"/>
              </w:rPr>
            </w:pPr>
          </w:p>
          <w:p w14:paraId="76882A00">
            <w:pPr>
              <w:spacing w:line="303" w:lineRule="auto"/>
              <w:rPr>
                <w:rFonts w:ascii="Arial"/>
                <w:sz w:val="21"/>
              </w:rPr>
            </w:pPr>
          </w:p>
          <w:p w14:paraId="7458168D">
            <w:pPr>
              <w:spacing w:line="303" w:lineRule="auto"/>
              <w:rPr>
                <w:rFonts w:ascii="Arial"/>
                <w:sz w:val="21"/>
              </w:rPr>
            </w:pPr>
          </w:p>
          <w:p w14:paraId="540B23D5">
            <w:pPr>
              <w:spacing w:before="65" w:line="224" w:lineRule="auto"/>
              <w:ind w:left="14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由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各高校自行确定。</w:t>
            </w:r>
          </w:p>
        </w:tc>
        <w:tc>
          <w:tcPr>
            <w:tcW w:w="2872" w:type="dxa"/>
            <w:vAlign w:val="top"/>
          </w:tcPr>
          <w:p w14:paraId="54047150">
            <w:pPr>
              <w:spacing w:line="303" w:lineRule="auto"/>
              <w:rPr>
                <w:rFonts w:ascii="Arial"/>
                <w:sz w:val="21"/>
              </w:rPr>
            </w:pPr>
          </w:p>
          <w:p w14:paraId="7B4036CB">
            <w:pPr>
              <w:spacing w:line="303" w:lineRule="auto"/>
              <w:rPr>
                <w:rFonts w:ascii="Arial"/>
                <w:sz w:val="21"/>
              </w:rPr>
            </w:pPr>
          </w:p>
          <w:p w14:paraId="1F617023">
            <w:pPr>
              <w:spacing w:line="303" w:lineRule="auto"/>
              <w:rPr>
                <w:rFonts w:ascii="Arial"/>
                <w:sz w:val="21"/>
              </w:rPr>
            </w:pPr>
          </w:p>
          <w:p w14:paraId="27859436">
            <w:pPr>
              <w:spacing w:before="65" w:line="224" w:lineRule="auto"/>
              <w:ind w:left="14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由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各高校自行确定。</w:t>
            </w:r>
          </w:p>
        </w:tc>
        <w:tc>
          <w:tcPr>
            <w:tcW w:w="3295" w:type="dxa"/>
            <w:vMerge w:val="continue"/>
            <w:tcBorders>
              <w:top w:val="nil"/>
            </w:tcBorders>
            <w:vAlign w:val="top"/>
          </w:tcPr>
          <w:p w14:paraId="10BEB5C3">
            <w:pPr>
              <w:rPr>
                <w:rFonts w:ascii="Arial"/>
                <w:sz w:val="21"/>
              </w:rPr>
            </w:pPr>
          </w:p>
        </w:tc>
      </w:tr>
      <w:tr w14:paraId="45183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117" w:type="dxa"/>
            <w:vAlign w:val="top"/>
          </w:tcPr>
          <w:p w14:paraId="20E2497C">
            <w:pPr>
              <w:spacing w:line="319" w:lineRule="auto"/>
              <w:rPr>
                <w:rFonts w:ascii="Arial"/>
                <w:sz w:val="21"/>
              </w:rPr>
            </w:pPr>
          </w:p>
          <w:p w14:paraId="6011DC33">
            <w:pPr>
              <w:spacing w:before="65" w:line="264" w:lineRule="auto"/>
              <w:ind w:left="149" w:right="137" w:hanging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1"/>
                <w:sz w:val="20"/>
                <w:szCs w:val="20"/>
              </w:rPr>
              <w:t>研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究生国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家助学金</w:t>
            </w:r>
          </w:p>
        </w:tc>
        <w:tc>
          <w:tcPr>
            <w:tcW w:w="4528" w:type="dxa"/>
            <w:vAlign w:val="top"/>
          </w:tcPr>
          <w:p w14:paraId="39ADE18F">
            <w:pPr>
              <w:spacing w:line="317" w:lineRule="auto"/>
              <w:rPr>
                <w:rFonts w:ascii="Arial"/>
                <w:sz w:val="21"/>
              </w:rPr>
            </w:pPr>
          </w:p>
          <w:p w14:paraId="631989B4">
            <w:pPr>
              <w:spacing w:before="65" w:line="263" w:lineRule="auto"/>
              <w:ind w:left="115" w:right="108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无固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定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工资收入的新生和在校生，超过基本修业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0"/>
                <w:szCs w:val="20"/>
              </w:rPr>
              <w:t>年</w:t>
            </w: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限的在校生不再具备申请条件。</w:t>
            </w:r>
          </w:p>
        </w:tc>
        <w:tc>
          <w:tcPr>
            <w:tcW w:w="2186" w:type="dxa"/>
            <w:vAlign w:val="top"/>
          </w:tcPr>
          <w:p w14:paraId="24E2FE8F">
            <w:pPr>
              <w:spacing w:line="292" w:lineRule="auto"/>
              <w:rPr>
                <w:rFonts w:ascii="Arial"/>
                <w:sz w:val="21"/>
              </w:rPr>
            </w:pPr>
          </w:p>
          <w:p w14:paraId="4FEC0374">
            <w:pPr>
              <w:spacing w:line="293" w:lineRule="auto"/>
              <w:rPr>
                <w:rFonts w:ascii="Arial"/>
                <w:sz w:val="21"/>
              </w:rPr>
            </w:pPr>
          </w:p>
          <w:p w14:paraId="286A6C19">
            <w:pPr>
              <w:spacing w:before="57" w:line="142" w:lineRule="exact"/>
              <w:ind w:left="8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1"/>
                <w:position w:val="-1"/>
                <w:sz w:val="20"/>
                <w:szCs w:val="20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10"/>
                <w:position w:val="-1"/>
                <w:sz w:val="20"/>
                <w:szCs w:val="20"/>
              </w:rPr>
              <w:t>—</w:t>
            </w:r>
          </w:p>
        </w:tc>
        <w:tc>
          <w:tcPr>
            <w:tcW w:w="2872" w:type="dxa"/>
            <w:vAlign w:val="top"/>
          </w:tcPr>
          <w:p w14:paraId="057DE378">
            <w:pPr>
              <w:spacing w:line="292" w:lineRule="auto"/>
              <w:rPr>
                <w:rFonts w:ascii="Arial"/>
                <w:sz w:val="21"/>
              </w:rPr>
            </w:pPr>
          </w:p>
          <w:p w14:paraId="3BB569B7">
            <w:pPr>
              <w:spacing w:line="293" w:lineRule="auto"/>
              <w:rPr>
                <w:rFonts w:ascii="Arial"/>
                <w:sz w:val="21"/>
              </w:rPr>
            </w:pPr>
          </w:p>
          <w:p w14:paraId="7038099A">
            <w:pPr>
              <w:spacing w:before="57" w:line="142" w:lineRule="exact"/>
              <w:ind w:left="122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11"/>
                <w:position w:val="-1"/>
                <w:sz w:val="20"/>
                <w:szCs w:val="20"/>
              </w:rPr>
              <w:t>—</w:t>
            </w:r>
            <w:r>
              <w:rPr>
                <w:rFonts w:ascii="Times New Roman" w:hAnsi="Times New Roman" w:eastAsia="Times New Roman" w:cs="Times New Roman"/>
                <w:spacing w:val="10"/>
                <w:position w:val="-1"/>
                <w:sz w:val="20"/>
                <w:szCs w:val="20"/>
              </w:rPr>
              <w:t>—</w:t>
            </w:r>
          </w:p>
        </w:tc>
        <w:tc>
          <w:tcPr>
            <w:tcW w:w="3295" w:type="dxa"/>
            <w:vAlign w:val="top"/>
          </w:tcPr>
          <w:p w14:paraId="42454A60">
            <w:pPr>
              <w:rPr>
                <w:rFonts w:ascii="Arial"/>
                <w:sz w:val="21"/>
              </w:rPr>
            </w:pPr>
          </w:p>
        </w:tc>
      </w:tr>
    </w:tbl>
    <w:p w14:paraId="44DDD344">
      <w:pPr>
        <w:rPr>
          <w:rFonts w:ascii="Arial"/>
          <w:sz w:val="21"/>
        </w:rPr>
      </w:pPr>
    </w:p>
    <w:p w14:paraId="1CF40244">
      <w:pPr>
        <w:sectPr>
          <w:footerReference r:id="rId6" w:type="default"/>
          <w:pgSz w:w="16838" w:h="11906"/>
          <w:pgMar w:top="1011" w:right="1415" w:bottom="1370" w:left="1418" w:header="0" w:footer="1084" w:gutter="0"/>
          <w:cols w:space="720" w:num="1"/>
        </w:sectPr>
      </w:pPr>
      <w:bookmarkStart w:id="0" w:name="_GoBack"/>
      <w:bookmarkEnd w:id="0"/>
    </w:p>
    <w:p w14:paraId="5F3FA91D">
      <w:pPr>
        <w:spacing w:before="101" w:line="230" w:lineRule="auto"/>
        <w:ind w:left="29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18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17"/>
          <w:sz w:val="32"/>
          <w:szCs w:val="32"/>
        </w:rPr>
        <w:t>件 2</w:t>
      </w:r>
      <w:r>
        <w:rPr>
          <w:rFonts w:hint="eastAsia" w:ascii="黑体" w:hAnsi="黑体" w:eastAsia="黑体" w:cs="黑体"/>
          <w:spacing w:val="-17"/>
          <w:sz w:val="32"/>
          <w:szCs w:val="32"/>
          <w:lang w:val="en-US" w:eastAsia="zh-CN"/>
        </w:rPr>
        <w:t>-1</w:t>
      </w:r>
    </w:p>
    <w:p w14:paraId="53CF0ACA">
      <w:pPr>
        <w:bidi w:val="0"/>
        <w:jc w:val="center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44"/>
          <w:szCs w:val="44"/>
        </w:rPr>
        <w:t>本</w:t>
      </w: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专科生国家奖学金评审流程图</w:t>
      </w:r>
    </w:p>
    <w:p w14:paraId="4FA14031">
      <w:pPr>
        <w:bidi w:val="0"/>
        <w:jc w:val="center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drawing>
          <wp:inline distT="0" distB="0" distL="114300" distR="114300">
            <wp:extent cx="5239385" cy="6489700"/>
            <wp:effectExtent l="0" t="0" r="3175" b="254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t="2264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6489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5D3DE8">
      <w:pPr>
        <w:tabs>
          <w:tab w:val="left" w:pos="3193"/>
        </w:tabs>
        <w:bidi w:val="0"/>
        <w:rPr>
          <w:rFonts w:hint="eastAsia" w:eastAsia="宋体"/>
          <w:lang w:eastAsia="zh-CN"/>
        </w:rPr>
        <w:sectPr>
          <w:footerReference r:id="rId7" w:type="default"/>
          <w:pgSz w:w="11906" w:h="16838"/>
          <w:pgMar w:top="1431" w:right="1488" w:bottom="1709" w:left="1588" w:header="0" w:footer="1425" w:gutter="0"/>
          <w:cols w:space="720" w:num="1"/>
        </w:sectPr>
      </w:pPr>
      <w:r>
        <w:rPr>
          <w:rFonts w:hint="eastAsia" w:eastAsia="宋体" w:cs="Arial"/>
          <w:snapToGrid w:val="0"/>
          <w:color w:val="000000"/>
          <w:kern w:val="0"/>
          <w:sz w:val="21"/>
          <w:szCs w:val="21"/>
          <w:lang w:eastAsia="zh-CN"/>
        </w:rPr>
        <w:tab/>
      </w:r>
    </w:p>
    <w:p w14:paraId="68674958">
      <w:pPr>
        <w:spacing w:before="101" w:line="230" w:lineRule="auto"/>
        <w:ind w:left="29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15"/>
          <w:sz w:val="32"/>
          <w:szCs w:val="32"/>
        </w:rPr>
        <w:t>附</w:t>
      </w:r>
      <w:r>
        <w:rPr>
          <w:rFonts w:hint="eastAsia" w:ascii="黑体" w:hAnsi="黑体" w:eastAsia="黑体" w:cs="黑体"/>
          <w:spacing w:val="-12"/>
          <w:sz w:val="32"/>
          <w:szCs w:val="32"/>
        </w:rPr>
        <w:t xml:space="preserve">件 </w:t>
      </w:r>
      <w:r>
        <w:rPr>
          <w:rFonts w:hint="eastAsia" w:ascii="黑体" w:hAnsi="黑体" w:eastAsia="黑体" w:cs="黑体"/>
          <w:spacing w:val="-12"/>
          <w:sz w:val="32"/>
          <w:szCs w:val="32"/>
          <w:lang w:val="en-US" w:eastAsia="zh-CN"/>
        </w:rPr>
        <w:t>2-2</w:t>
      </w:r>
    </w:p>
    <w:p w14:paraId="04E4FBE8">
      <w:pPr>
        <w:spacing w:before="197" w:line="184" w:lineRule="auto"/>
        <w:ind w:left="124"/>
        <w:rPr>
          <w:rFonts w:hint="eastAsia" w:ascii="方正小标宋简体" w:hAnsi="方正小标宋简体" w:eastAsia="方正小标宋简体" w:cs="方正小标宋简体"/>
          <w:spacing w:val="3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6"/>
          <w:w w:val="90"/>
          <w:sz w:val="44"/>
          <w:szCs w:val="44"/>
        </w:rPr>
        <w:t>本专科</w:t>
      </w:r>
      <w:r>
        <w:rPr>
          <w:rFonts w:hint="eastAsia" w:ascii="方正小标宋简体" w:hAnsi="方正小标宋简体" w:eastAsia="方正小标宋简体" w:cs="方正小标宋简体"/>
          <w:spacing w:val="4"/>
          <w:w w:val="90"/>
          <w:sz w:val="44"/>
          <w:szCs w:val="44"/>
        </w:rPr>
        <w:t>生</w:t>
      </w:r>
      <w:r>
        <w:rPr>
          <w:rFonts w:hint="eastAsia" w:ascii="方正小标宋简体" w:hAnsi="方正小标宋简体" w:eastAsia="方正小标宋简体" w:cs="方正小标宋简体"/>
          <w:spacing w:val="3"/>
          <w:w w:val="90"/>
          <w:sz w:val="44"/>
          <w:szCs w:val="44"/>
        </w:rPr>
        <w:t>国家励志奖学金 国家助学金评审流程图</w:t>
      </w:r>
    </w:p>
    <w:p w14:paraId="25B150A3">
      <w:pPr>
        <w:spacing w:before="197" w:line="184" w:lineRule="auto"/>
        <w:ind w:left="124"/>
        <w:jc w:val="center"/>
        <w:sectPr>
          <w:footerReference r:id="rId8" w:type="default"/>
          <w:pgSz w:w="11906" w:h="16838"/>
          <w:pgMar w:top="1431" w:right="1499" w:bottom="1709" w:left="1588" w:header="0" w:footer="1427" w:gutter="0"/>
          <w:cols w:space="720" w:num="1"/>
        </w:sect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91150" cy="7769225"/>
            <wp:effectExtent l="0" t="0" r="3810" b="3175"/>
            <wp:docPr id="4" name="图片 4" descr="本专科生国家励志奖学金、国家助学金校内评审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本专科生国家励志奖学金、国家助学金校内评审流程图"/>
                    <pic:cNvPicPr>
                      <a:picLocks noChangeAspect="1"/>
                    </pic:cNvPicPr>
                  </pic:nvPicPr>
                  <pic:blipFill>
                    <a:blip r:embed="rId12"/>
                    <a:srcRect t="1612" b="1291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7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46C4">
      <w:pPr>
        <w:spacing w:before="60" w:line="188" w:lineRule="auto"/>
        <w:rPr>
          <w:rFonts w:ascii="微软雅黑" w:hAnsi="微软雅黑" w:eastAsia="微软雅黑" w:cs="微软雅黑"/>
          <w:sz w:val="28"/>
          <w:szCs w:val="28"/>
        </w:rPr>
      </w:pPr>
    </w:p>
    <w:sectPr>
      <w:footerReference r:id="rId9" w:type="default"/>
      <w:pgSz w:w="11906" w:h="16838"/>
      <w:pgMar w:top="1431" w:right="977" w:bottom="1709" w:left="1093" w:header="0" w:footer="142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A2A69">
    <w:pPr>
      <w:spacing w:line="187" w:lineRule="auto"/>
      <w:ind w:left="440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01B9D">
    <w:pPr>
      <w:spacing w:before="1" w:line="188" w:lineRule="auto"/>
      <w:ind w:right="423"/>
      <w:jc w:val="center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C0659">
    <w:pPr>
      <w:spacing w:line="187" w:lineRule="auto"/>
      <w:ind w:left="32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12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50C8B">
    <w:pPr>
      <w:spacing w:before="1" w:line="185" w:lineRule="auto"/>
      <w:ind w:right="284"/>
      <w:jc w:val="right"/>
      <w:rPr>
        <w:rFonts w:ascii="宋体" w:hAnsi="宋体" w:eastAsia="宋体" w:cs="宋体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6A9C5">
    <w:pPr>
      <w:spacing w:before="1" w:line="185" w:lineRule="auto"/>
      <w:ind w:left="823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53836C5"/>
    <w:rsid w:val="71863B6E"/>
    <w:rsid w:val="741D0D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968</Words>
  <Characters>999</Characters>
  <TotalTime>12</TotalTime>
  <ScaleCrop>false</ScaleCrop>
  <LinksUpToDate>false</LinksUpToDate>
  <CharactersWithSpaces>1103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2025-09-28T10:42:00Z</dcterms:created>
  <dc:creator>admin</dc:creator>
  <cp:lastModifiedBy>村妹儿</cp:lastModifiedBy>
  <dcterms:modified xsi:type="dcterms:W3CDTF">2025-09-28T09:42:36Z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2025-09-28T10:46:00Z</vt:filetime>
  </property>
  <property fmtid="{D5CDD505-2E9C-101B-9397-08002B2CF9AE}" pid="4" name="KSOTemplateDocerSaveRecord">
    <vt:lpwstr>eyJoZGlkIjoiYWE4YzRkOWM5YjIwOGM2NGExZDIyMDFiMzliYWVmZDYiLCJ1c2VySWQiOiI0MDE0ODUwNjUifQ==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E493AEFEDBA4406593C8FAF1097EA28F_13</vt:lpwstr>
  </property>
</Properties>
</file>